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rFonts w:ascii="Avenir Next Regular" w:cs="Avenir Next Regular" w:hAnsi="Avenir Next Regular" w:eastAsia="Avenir Next Regular"/>
        </w:rPr>
      </w:pPr>
      <w:r>
        <w:rPr>
          <w:rFonts w:ascii="Avenir Next Regular" w:hAnsi="Avenir Next Regular"/>
          <w:rtl w:val="0"/>
          <w:lang w:val="en-US"/>
        </w:rPr>
        <w:t>Your Name:</w:t>
      </w:r>
    </w:p>
    <w:p>
      <w:pPr>
        <w:pStyle w:val="Body A"/>
        <w:jc w:val="both"/>
        <w:rPr>
          <w:rFonts w:ascii="Avenir Next Regular" w:cs="Avenir Next Regular" w:hAnsi="Avenir Next Regular" w:eastAsia="Avenir Next Regular"/>
          <w:b w:val="1"/>
          <w:bCs w:val="1"/>
        </w:rPr>
      </w:pPr>
    </w:p>
    <w:p>
      <w:pPr>
        <w:pStyle w:val="Body A"/>
        <w:jc w:val="both"/>
        <w:rPr>
          <w:rFonts w:ascii="Avenir Next Regular" w:cs="Avenir Next Regular" w:hAnsi="Avenir Next Regular" w:eastAsia="Avenir Next Regular"/>
          <w:b w:val="1"/>
          <w:bCs w:val="1"/>
          <w:sz w:val="4"/>
          <w:szCs w:val="4"/>
        </w:rPr>
      </w:pPr>
    </w:p>
    <w:p>
      <w:pPr>
        <w:pStyle w:val="Body A"/>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 xml:space="preserve">Confirmation Session </w:t>
      </w:r>
      <w:r>
        <w:rPr>
          <w:rFonts w:ascii="Avenir Next Regular" w:hAnsi="Avenir Next Regular"/>
          <w:b w:val="1"/>
          <w:bCs w:val="1"/>
          <w:rtl w:val="0"/>
          <w:lang w:val="en-US"/>
        </w:rPr>
        <w:t>Three</w:t>
      </w:r>
      <w:r>
        <w:rPr>
          <w:rFonts w:ascii="Avenir Next Regular" w:hAnsi="Avenir Next Regular"/>
          <w:b w:val="1"/>
          <w:bCs w:val="1"/>
          <w:rtl w:val="0"/>
          <w:lang w:val="en-US"/>
        </w:rPr>
        <w:t xml:space="preserve">: </w:t>
      </w:r>
      <w:r>
        <w:rPr>
          <w:rFonts w:ascii="Avenir Next Regular" w:hAnsi="Avenir Next Regular"/>
          <w:b w:val="1"/>
          <w:bCs w:val="1"/>
          <w:rtl w:val="0"/>
          <w:lang w:val="en-US"/>
        </w:rPr>
        <w:t>The Church</w:t>
      </w:r>
    </w:p>
    <w:p>
      <w:pPr>
        <w:pStyle w:val="Body A"/>
        <w:jc w:val="both"/>
        <w:rPr>
          <w:rFonts w:ascii="Avenir Next Regular" w:cs="Avenir Next Regular" w:hAnsi="Avenir Next Regular" w:eastAsia="Avenir Next Regular"/>
          <w:u w:val="single"/>
        </w:rPr>
      </w:pPr>
    </w:p>
    <w:p>
      <w:pPr>
        <w:pStyle w:val="Body A"/>
        <w:jc w:val="both"/>
        <w:rPr>
          <w:rFonts w:ascii="Avenir Next Regular" w:cs="Avenir Next Regular" w:hAnsi="Avenir Next Regular" w:eastAsia="Avenir Next Regular"/>
          <w:u w:val="single"/>
        </w:rPr>
      </w:pPr>
      <w:r>
        <w:rPr>
          <w:rFonts w:ascii="Avenir Next Regular" w:hAnsi="Avenir Next Regular"/>
          <w:u w:val="single"/>
          <w:rtl w:val="0"/>
          <w:lang w:val="en-US"/>
        </w:rPr>
        <w:t>Unit 1: The Church is the community founded by Christ. He guides Her (the Church) today, through the Holy Spirit, and the Church is our living link to Jesus.</w:t>
      </w:r>
    </w:p>
    <w:p>
      <w:pPr>
        <w:pStyle w:val="Body A"/>
        <w:jc w:val="both"/>
        <w:rPr>
          <w:rFonts w:ascii="Avenir Next Regular" w:cs="Avenir Next Regular" w:hAnsi="Avenir Next Regular" w:eastAsia="Avenir Next Regular"/>
          <w:u w:val="single"/>
        </w:rPr>
      </w:pPr>
    </w:p>
    <w:p>
      <w:pPr>
        <w:pStyle w:val="Body A"/>
        <w:numPr>
          <w:ilvl w:val="0"/>
          <w:numId w:val="2"/>
        </w:numPr>
        <w:bidi w:val="0"/>
        <w:ind w:right="0"/>
        <w:jc w:val="both"/>
        <w:rPr>
          <w:rFonts w:ascii="Avenir Next Regular" w:hAnsi="Avenir Next Regular"/>
          <w:rtl w:val="0"/>
          <w:lang w:val="en-US"/>
        </w:rPr>
      </w:pPr>
      <w:r>
        <w:rPr>
          <w:rFonts w:ascii="Avenir Next Regular" w:hAnsi="Avenir Next Regular"/>
          <w:rtl w:val="0"/>
          <w:lang w:val="en-US"/>
        </w:rPr>
        <w:t>What did Jesus leave behind when He ascended into Heaven</w:t>
      </w:r>
      <w:r>
        <w:rPr>
          <w:rFonts w:ascii="Avenir Next Regular" w:hAnsi="Avenir Next Regular"/>
          <w:rtl w:val="0"/>
          <w:lang w:val="en-US"/>
        </w:rPr>
        <w:t>? (</w:t>
      </w:r>
      <w:r>
        <w:rPr>
          <w:rFonts w:ascii="Avenir Next Regular" w:hAnsi="Avenir Next Regular"/>
          <w:rtl w:val="0"/>
          <w:lang w:val="en-US"/>
        </w:rPr>
        <w:t>5</w:t>
      </w:r>
      <w:r>
        <w:rPr>
          <w:rFonts w:ascii="Avenir Next Regular" w:hAnsi="Avenir Next Regular"/>
          <w:rtl w:val="0"/>
          <w:lang w:val="en-US"/>
        </w:rPr>
        <w:t xml:space="preserve"> - 20 Words)</w:t>
      </w: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numPr>
          <w:ilvl w:val="0"/>
          <w:numId w:val="2"/>
        </w:numPr>
        <w:bidi w:val="0"/>
        <w:ind w:right="0"/>
        <w:jc w:val="both"/>
        <w:rPr>
          <w:rFonts w:ascii="Avenir Next Regular" w:hAnsi="Avenir Next Regular"/>
          <w:rtl w:val="0"/>
          <w:lang w:val="en-US"/>
        </w:rPr>
      </w:pPr>
      <w:r>
        <w:rPr>
          <w:rFonts w:ascii="Avenir Next Regular" w:hAnsi="Avenir Next Regular"/>
          <w:rtl w:val="0"/>
          <w:lang w:val="en-US"/>
        </w:rPr>
        <w:t>What is a Bishop and why do Bishops matter?</w:t>
      </w:r>
      <w:r>
        <w:rPr>
          <w:rFonts w:ascii="Avenir Next Regular" w:hAnsi="Avenir Next Regular"/>
          <w:rtl w:val="0"/>
          <w:lang w:val="en-US"/>
        </w:rPr>
        <w:t xml:space="preserve"> (20 - 50 Words)</w:t>
      </w: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numPr>
          <w:ilvl w:val="0"/>
          <w:numId w:val="2"/>
        </w:numPr>
        <w:bidi w:val="0"/>
        <w:ind w:right="0"/>
        <w:jc w:val="both"/>
        <w:rPr>
          <w:rFonts w:ascii="Avenir Next Regular" w:hAnsi="Avenir Next Regular"/>
          <w:rtl w:val="0"/>
          <w:lang w:val="en-US"/>
        </w:rPr>
      </w:pPr>
      <w:r>
        <w:rPr>
          <w:rFonts w:ascii="Avenir Next Regular" w:hAnsi="Avenir Next Regular"/>
          <w:rtl w:val="0"/>
          <w:lang w:val="en-US"/>
        </w:rPr>
        <w:t xml:space="preserve">Which Scripture passages teach the following? (Put an </w:t>
      </w:r>
      <w:r>
        <w:rPr>
          <w:rFonts w:ascii="Avenir Next Regular" w:hAnsi="Avenir Next Regular" w:hint="default"/>
          <w:rtl w:val="0"/>
          <w:lang w:val="en-US"/>
        </w:rPr>
        <w:t>‘</w:t>
      </w:r>
      <w:r>
        <w:rPr>
          <w:rFonts w:ascii="Avenir Next Regular" w:hAnsi="Avenir Next Regular"/>
          <w:rtl w:val="0"/>
          <w:lang w:val="en-US"/>
        </w:rPr>
        <w:t>X</w:t>
      </w:r>
      <w:r>
        <w:rPr>
          <w:rFonts w:ascii="Avenir Next Regular" w:hAnsi="Avenir Next Regular" w:hint="default"/>
          <w:rtl w:val="0"/>
          <w:lang w:val="en-US"/>
        </w:rPr>
        <w:t xml:space="preserve">’ </w:t>
      </w:r>
      <w:r>
        <w:rPr>
          <w:rFonts w:ascii="Avenir Next Regular" w:hAnsi="Avenir Next Regular"/>
          <w:rtl w:val="0"/>
          <w:lang w:val="en-US"/>
        </w:rPr>
        <w:t>in all the boxes that apply)</w:t>
      </w:r>
    </w:p>
    <w:p>
      <w:pPr>
        <w:pStyle w:val="Body A"/>
        <w:rPr>
          <w:rFonts w:ascii="Bradley Hand ITC TT-Bold" w:cs="Bradley Hand ITC TT-Bold" w:hAnsi="Bradley Hand ITC TT-Bold" w:eastAsia="Bradley Hand ITC TT-Bold"/>
        </w:rPr>
      </w:pPr>
    </w:p>
    <w:tbl>
      <w:tblPr>
        <w:tblW w:w="963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000000"/>
        <w:tblLayout w:type="fixed"/>
      </w:tblPr>
      <w:tblGrid>
        <w:gridCol w:w="6509"/>
        <w:gridCol w:w="1041"/>
        <w:gridCol w:w="1041"/>
        <w:gridCol w:w="1041"/>
      </w:tblGrid>
      <w:tr>
        <w:tblPrEx>
          <w:shd w:val="clear" w:color="auto" w:fill="auto"/>
        </w:tblPrEx>
        <w:trPr>
          <w:trHeight w:val="630" w:hRule="atLeast"/>
          <w:tblHeader/>
        </w:trPr>
        <w:tc>
          <w:tcPr>
            <w:tcW w:type="dxa" w:w="6509"/>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top"/>
          </w:tcPr>
          <w:p/>
        </w:tc>
        <w:tc>
          <w:tcPr>
            <w:tcW w:type="dxa" w:w="1040"/>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Matt. 28.18-20</w:t>
            </w:r>
          </w:p>
        </w:tc>
        <w:tc>
          <w:tcPr>
            <w:tcW w:type="dxa" w:w="1040"/>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John 16.12-13</w:t>
            </w:r>
          </w:p>
        </w:tc>
        <w:tc>
          <w:tcPr>
            <w:tcW w:type="dxa" w:w="1040"/>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Acts 1.7-8</w:t>
            </w:r>
          </w:p>
        </w:tc>
      </w:tr>
      <w:tr>
        <w:tblPrEx>
          <w:shd w:val="clear" w:color="auto" w:fill="000000"/>
        </w:tblPrEx>
        <w:trPr>
          <w:trHeight w:val="630" w:hRule="atLeast"/>
        </w:trPr>
        <w:tc>
          <w:tcPr>
            <w:tcW w:type="dxa" w:w="6509"/>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Jesus will never leave His Church</w:t>
            </w:r>
          </w:p>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p>
        </w:tc>
        <w:tc>
          <w:tcPr>
            <w:tcW w:type="dxa" w:w="1040"/>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620" w:hRule="atLeast"/>
        </w:trPr>
        <w:tc>
          <w:tcPr>
            <w:tcW w:type="dxa" w:w="6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The Holy Spirit guides the Church</w:t>
            </w:r>
          </w:p>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620" w:hRule="atLeast"/>
        </w:trPr>
        <w:tc>
          <w:tcPr>
            <w:tcW w:type="dxa" w:w="6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The Apostles are given the job of handing on Jesus</w:t>
            </w:r>
            <w:r>
              <w:rPr>
                <w:rFonts w:ascii="Avenir Next Regular" w:cs="Arial Unicode MS" w:hAnsi="Avenir Next Regular"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commandments?</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620" w:hRule="atLeast"/>
        </w:trPr>
        <w:tc>
          <w:tcPr>
            <w:tcW w:type="dxa" w:w="6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The Holy Spirit will guide the Apostles into the Truth?</w:t>
            </w:r>
          </w:p>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620" w:hRule="atLeast"/>
        </w:trPr>
        <w:tc>
          <w:tcPr>
            <w:tcW w:type="dxa" w:w="6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The mission of the Apostles and the Church is to help others to become disciples (students) of Jesus Christ?</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bl>
    <w:p>
      <w:pPr>
        <w:pStyle w:val="Body A"/>
        <w:rPr>
          <w:rFonts w:ascii="Bradley Hand ITC TT-Bold" w:cs="Bradley Hand ITC TT-Bold" w:hAnsi="Bradley Hand ITC TT-Bold" w:eastAsia="Bradley Hand ITC TT-Bold"/>
        </w:rPr>
      </w:pPr>
    </w:p>
    <w:p>
      <w:pPr>
        <w:pStyle w:val="Body A"/>
        <w:rPr>
          <w:rFonts w:ascii="Avenir Next Regular" w:cs="Avenir Next Regular" w:hAnsi="Avenir Next Regular" w:eastAsia="Avenir Next Regular"/>
          <w:u w:val="single"/>
        </w:rPr>
      </w:pPr>
    </w:p>
    <w:p>
      <w:pPr>
        <w:pStyle w:val="Body A"/>
        <w:rPr>
          <w:rFonts w:ascii="Avenir Next Regular" w:cs="Avenir Next Regular" w:hAnsi="Avenir Next Regular" w:eastAsia="Avenir Next Regular"/>
        </w:rPr>
      </w:pPr>
    </w:p>
    <w:p>
      <w:pPr>
        <w:pStyle w:val="Body A"/>
        <w:numPr>
          <w:ilvl w:val="0"/>
          <w:numId w:val="2"/>
        </w:numPr>
        <w:bidi w:val="0"/>
        <w:ind w:right="0"/>
        <w:jc w:val="both"/>
        <w:rPr>
          <w:rFonts w:ascii="Avenir Next Regular" w:hAnsi="Avenir Next Regular"/>
          <w:rtl w:val="0"/>
          <w:lang w:val="en-US"/>
        </w:rPr>
      </w:pPr>
      <w:r>
        <w:rPr>
          <w:rFonts w:ascii="Avenir Next Regular" w:hAnsi="Avenir Next Regular"/>
          <w:rtl w:val="0"/>
          <w:lang w:val="en-US"/>
        </w:rPr>
        <w:t>Do these promises still apply to the Catholic Church today</w:t>
      </w:r>
      <w:r>
        <w:rPr>
          <w:rFonts w:ascii="Avenir Next Regular" w:hAnsi="Avenir Next Regular"/>
          <w:rtl w:val="0"/>
          <w:lang w:val="en-US"/>
        </w:rPr>
        <w:t>? (</w:t>
      </w:r>
      <w:r>
        <w:rPr>
          <w:rFonts w:ascii="Avenir Next Regular" w:hAnsi="Avenir Next Regular"/>
          <w:rtl w:val="0"/>
          <w:lang w:val="en-US"/>
        </w:rPr>
        <w:t>Yes/No</w:t>
      </w:r>
      <w:r>
        <w:rPr>
          <w:rFonts w:ascii="Avenir Next Regular" w:hAnsi="Avenir Next Regular"/>
          <w:rtl w:val="0"/>
          <w:lang w:val="en-US"/>
        </w:rPr>
        <w:t>)</w:t>
      </w: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Avenir Next Regular" w:cs="Avenir Next Regular" w:hAnsi="Avenir Next Regular" w:eastAsia="Avenir Next Regular"/>
        </w:rPr>
      </w:pPr>
    </w:p>
    <w:p>
      <w:pPr>
        <w:pStyle w:val="Body A"/>
        <w:jc w:val="both"/>
        <w:rPr>
          <w:rFonts w:ascii="Avenir Next Regular" w:cs="Avenir Next Regular" w:hAnsi="Avenir Next Regular" w:eastAsia="Avenir Next Regular"/>
          <w:u w:val="single"/>
        </w:rPr>
      </w:pPr>
      <w:r>
        <w:rPr>
          <w:rFonts w:ascii="Avenir Next Regular" w:hAnsi="Avenir Next Regular"/>
          <w:u w:val="single"/>
          <w:rtl w:val="0"/>
          <w:lang w:val="en-US"/>
        </w:rPr>
        <w:t>Unit 2: All that we know of Jesus Christ and His teaching comes to us through the Church. The Church hands down the Gospel of Jesus Christ through Scripture and Tradition.</w:t>
      </w:r>
    </w:p>
    <w:p>
      <w:pPr>
        <w:pStyle w:val="Body A"/>
        <w:jc w:val="both"/>
        <w:rPr>
          <w:rFonts w:ascii="Avenir Next Regular" w:cs="Avenir Next Regular" w:hAnsi="Avenir Next Regular" w:eastAsia="Avenir Next Regular"/>
          <w:u w:val="single"/>
        </w:rPr>
      </w:pPr>
    </w:p>
    <w:p>
      <w:pPr>
        <w:pStyle w:val="Body A"/>
        <w:jc w:val="both"/>
        <w:rPr>
          <w:rFonts w:ascii="Avenir Next Regular" w:cs="Avenir Next Regular" w:hAnsi="Avenir Next Regular" w:eastAsia="Avenir Next Regular"/>
          <w:i w:val="1"/>
          <w:iCs w:val="1"/>
          <w:u w:val="single"/>
        </w:rPr>
      </w:pPr>
      <w:r>
        <w:rPr>
          <w:rFonts w:ascii="Avenir Next Regular" w:hAnsi="Avenir Next Regular"/>
          <w:i w:val="1"/>
          <w:iCs w:val="1"/>
          <w:rtl w:val="0"/>
          <w:lang w:val="en-US"/>
        </w:rPr>
        <w:t>After watching the video, discuss with your parent(s)/guardian(s) what is meant by Sacred Scripture and Sacred Tradition</w:t>
      </w:r>
    </w:p>
    <w:p>
      <w:pPr>
        <w:pStyle w:val="Body A"/>
        <w:jc w:val="both"/>
        <w:rPr>
          <w:rFonts w:ascii="Avenir Next Regular" w:cs="Avenir Next Regular" w:hAnsi="Avenir Next Regular" w:eastAsia="Avenir Next Regular"/>
          <w:u w:val="single"/>
        </w:rPr>
      </w:pPr>
    </w:p>
    <w:p>
      <w:pPr>
        <w:pStyle w:val="Body A"/>
        <w:numPr>
          <w:ilvl w:val="0"/>
          <w:numId w:val="3"/>
        </w:numPr>
        <w:bidi w:val="0"/>
        <w:ind w:right="0"/>
        <w:jc w:val="both"/>
        <w:rPr>
          <w:rFonts w:ascii="Avenir Next Regular" w:hAnsi="Avenir Next Regular"/>
          <w:rtl w:val="0"/>
          <w:lang w:val="en-US"/>
        </w:rPr>
      </w:pPr>
      <w:r>
        <w:rPr>
          <w:rFonts w:ascii="Avenir Next Regular" w:hAnsi="Avenir Next Regular"/>
          <w:rtl w:val="0"/>
          <w:lang w:val="en-US"/>
        </w:rPr>
        <w:t>In your own words explain what is meant by Sacred Scripture and Sacred Tradition.</w:t>
      </w:r>
      <w:r>
        <w:rPr>
          <w:rFonts w:ascii="Avenir Next Regular" w:hAnsi="Avenir Next Regular"/>
          <w:rtl w:val="0"/>
          <w:lang w:val="en-US"/>
        </w:rPr>
        <w:t xml:space="preserve"> (20 - </w:t>
      </w:r>
      <w:r>
        <w:rPr>
          <w:rFonts w:ascii="Avenir Next Regular" w:hAnsi="Avenir Next Regular"/>
          <w:rtl w:val="0"/>
          <w:lang w:val="en-US"/>
        </w:rPr>
        <w:t>5</w:t>
      </w:r>
      <w:r>
        <w:rPr>
          <w:rFonts w:ascii="Avenir Next Regular" w:hAnsi="Avenir Next Regular"/>
          <w:rtl w:val="0"/>
          <w:lang w:val="en-US"/>
        </w:rPr>
        <w:t>0 Words)</w:t>
      </w: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numPr>
          <w:ilvl w:val="0"/>
          <w:numId w:val="3"/>
        </w:numPr>
        <w:bidi w:val="0"/>
        <w:ind w:right="0"/>
        <w:jc w:val="both"/>
        <w:rPr>
          <w:rFonts w:ascii="Avenir Next Regular" w:hAnsi="Avenir Next Regular"/>
          <w:rtl w:val="0"/>
          <w:lang w:val="en-US"/>
        </w:rPr>
      </w:pPr>
      <w:r>
        <w:rPr>
          <w:rFonts w:ascii="Avenir Next Regular" w:hAnsi="Avenir Next Regular"/>
          <w:rtl w:val="0"/>
          <w:lang w:val="en-US"/>
        </w:rPr>
        <w:t xml:space="preserve">What is the </w:t>
      </w:r>
      <w:r>
        <w:rPr>
          <w:rFonts w:ascii="Avenir Next Regular" w:hAnsi="Avenir Next Regular" w:hint="default"/>
          <w:rtl w:val="0"/>
          <w:lang w:val="en-US"/>
        </w:rPr>
        <w:t>‘</w:t>
      </w:r>
      <w:r>
        <w:rPr>
          <w:rFonts w:ascii="Avenir Next Regular" w:hAnsi="Avenir Next Regular"/>
          <w:rtl w:val="0"/>
          <w:lang w:val="en-US"/>
        </w:rPr>
        <w:t>owner</w:t>
      </w:r>
      <w:r>
        <w:rPr>
          <w:rFonts w:ascii="Avenir Next Regular" w:hAnsi="Avenir Next Regular" w:hint="default"/>
          <w:rtl w:val="0"/>
          <w:lang w:val="en-US"/>
        </w:rPr>
        <w:t>’</w:t>
      </w:r>
      <w:r>
        <w:rPr>
          <w:rFonts w:ascii="Avenir Next Regular" w:hAnsi="Avenir Next Regular"/>
          <w:rtl w:val="0"/>
          <w:lang w:val="en-US"/>
        </w:rPr>
        <w:t>s manual to your life</w:t>
      </w:r>
      <w:r>
        <w:rPr>
          <w:rFonts w:ascii="Avenir Next Regular" w:hAnsi="Avenir Next Regular" w:hint="default"/>
          <w:rtl w:val="0"/>
          <w:lang w:val="en-US"/>
        </w:rPr>
        <w:t xml:space="preserve">’ </w:t>
      </w:r>
      <w:r>
        <w:rPr>
          <w:rFonts w:ascii="Avenir Next Regular" w:hAnsi="Avenir Next Regular"/>
          <w:rtl w:val="0"/>
          <w:lang w:val="en-US"/>
        </w:rPr>
        <w:t>and where does it come from</w:t>
      </w:r>
      <w:r>
        <w:rPr>
          <w:rFonts w:ascii="Avenir Next Regular" w:hAnsi="Avenir Next Regular"/>
          <w:rtl w:val="0"/>
          <w:lang w:val="en-US"/>
        </w:rPr>
        <w:t xml:space="preserve">? </w:t>
      </w:r>
      <w:r>
        <w:rPr>
          <w:rFonts w:ascii="Avenir Next Regular" w:hAnsi="Avenir Next Regular"/>
          <w:rtl w:val="0"/>
          <w:lang w:val="en-US"/>
        </w:rPr>
        <w:t xml:space="preserve">What should I do to get the most from it? </w:t>
      </w:r>
      <w:r>
        <w:rPr>
          <w:rFonts w:ascii="Avenir Next Regular" w:hAnsi="Avenir Next Regular"/>
          <w:rtl w:val="0"/>
          <w:lang w:val="en-US"/>
        </w:rPr>
        <w:t>(20 - 30 Words)</w:t>
      </w: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Bradley Hand ITC TT-Bold" w:cs="Bradley Hand ITC TT-Bold" w:hAnsi="Bradley Hand ITC TT-Bold" w:eastAsia="Bradley Hand ITC TT-Bold"/>
        </w:rPr>
      </w:pPr>
    </w:p>
    <w:p>
      <w:pPr>
        <w:pStyle w:val="Body A"/>
        <w:jc w:val="both"/>
        <w:rPr>
          <w:rFonts w:ascii="Avenir Next Regular" w:cs="Avenir Next Regular" w:hAnsi="Avenir Next Regular" w:eastAsia="Avenir Next Regular"/>
          <w:u w:val="single"/>
        </w:rPr>
      </w:pPr>
      <w:r>
        <w:rPr>
          <w:rFonts w:ascii="Avenir Next Regular" w:hAnsi="Avenir Next Regular"/>
          <w:u w:val="single"/>
          <w:rtl w:val="0"/>
          <w:lang w:val="en-US"/>
        </w:rPr>
        <w:t>Unit 3: Since Jesus remains with His Church always, and guides Her into all truth through the Holy Spirit, when the Catholic Church teaches on matters of faith and morality, She is prevented, by God, from teaching error.</w:t>
      </w:r>
    </w:p>
    <w:p>
      <w:pPr>
        <w:pStyle w:val="Body A"/>
        <w:jc w:val="both"/>
        <w:rPr>
          <w:rFonts w:ascii="Bradley Hand ITC TT-Bold" w:cs="Bradley Hand ITC TT-Bold" w:hAnsi="Bradley Hand ITC TT-Bold" w:eastAsia="Bradley Hand ITC TT-Bold"/>
        </w:rPr>
      </w:pPr>
    </w:p>
    <w:p>
      <w:pPr>
        <w:pStyle w:val="Body A"/>
        <w:numPr>
          <w:ilvl w:val="0"/>
          <w:numId w:val="3"/>
        </w:numPr>
        <w:bidi w:val="0"/>
        <w:ind w:right="0"/>
        <w:jc w:val="both"/>
        <w:rPr>
          <w:rFonts w:ascii="Avenir Next Regular" w:hAnsi="Avenir Next Regular"/>
          <w:rtl w:val="0"/>
          <w:lang w:val="en-US"/>
        </w:rPr>
      </w:pPr>
      <w:r>
        <w:rPr>
          <w:rFonts w:ascii="Avenir Next Regular" w:hAnsi="Avenir Next Regular"/>
          <w:rtl w:val="0"/>
          <w:lang w:val="en-US"/>
        </w:rPr>
        <w:t xml:space="preserve">Which of the following is a good definition of </w:t>
      </w:r>
      <w:r>
        <w:rPr>
          <w:rFonts w:ascii="Avenir Next Regular" w:hAnsi="Avenir Next Regular" w:hint="default"/>
          <w:rtl w:val="0"/>
          <w:lang w:val="en-US"/>
        </w:rPr>
        <w:t>‘</w:t>
      </w:r>
      <w:r>
        <w:rPr>
          <w:rFonts w:ascii="Avenir Next Regular" w:hAnsi="Avenir Next Regular"/>
          <w:rtl w:val="0"/>
          <w:lang w:val="en-US"/>
        </w:rPr>
        <w:t>Papal Infallibility</w:t>
      </w:r>
      <w:r>
        <w:rPr>
          <w:rFonts w:ascii="Avenir Next Regular" w:hAnsi="Avenir Next Regular" w:hint="default"/>
          <w:rtl w:val="0"/>
          <w:lang w:val="en-US"/>
        </w:rPr>
        <w:t>’</w:t>
      </w:r>
      <w:r>
        <w:rPr>
          <w:rFonts w:ascii="Avenir Next Regular" w:hAnsi="Avenir Next Regular"/>
          <w:rtl w:val="0"/>
          <w:lang w:val="en-US"/>
        </w:rPr>
        <w:t>? (</w:t>
      </w:r>
      <w:r>
        <w:rPr>
          <w:rFonts w:ascii="Avenir Next Regular" w:hAnsi="Avenir Next Regular"/>
          <w:rtl w:val="0"/>
          <w:lang w:val="en-US"/>
        </w:rPr>
        <w:t xml:space="preserve">Put an </w:t>
      </w:r>
      <w:r>
        <w:rPr>
          <w:rFonts w:ascii="Avenir Next Regular" w:hAnsi="Avenir Next Regular" w:hint="default"/>
          <w:rtl w:val="0"/>
          <w:lang w:val="en-US"/>
        </w:rPr>
        <w:t>‘</w:t>
      </w:r>
      <w:r>
        <w:rPr>
          <w:rFonts w:ascii="Avenir Next Regular" w:hAnsi="Avenir Next Regular"/>
          <w:rtl w:val="0"/>
          <w:lang w:val="en-US"/>
        </w:rPr>
        <w:t>X</w:t>
      </w:r>
      <w:r>
        <w:rPr>
          <w:rFonts w:ascii="Avenir Next Regular" w:hAnsi="Avenir Next Regular" w:hint="default"/>
          <w:rtl w:val="0"/>
          <w:lang w:val="en-US"/>
        </w:rPr>
        <w:t xml:space="preserve">’ </w:t>
      </w:r>
      <w:r>
        <w:rPr>
          <w:rFonts w:ascii="Avenir Next Regular" w:hAnsi="Avenir Next Regular"/>
          <w:rtl w:val="0"/>
          <w:lang w:val="en-US"/>
        </w:rPr>
        <w:t>next to the correct answer</w:t>
      </w:r>
      <w:r>
        <w:rPr>
          <w:rFonts w:ascii="Avenir Next Regular" w:hAnsi="Avenir Next Regular"/>
          <w:rtl w:val="0"/>
          <w:lang w:val="en-US"/>
        </w:rPr>
        <w:t>)</w:t>
      </w:r>
    </w:p>
    <w:p>
      <w:pPr>
        <w:pStyle w:val="Body A"/>
        <w:rPr>
          <w:rFonts w:ascii="Bradley Hand ITC TT-Bold" w:cs="Bradley Hand ITC TT-Bold" w:hAnsi="Bradley Hand ITC TT-Bold" w:eastAsia="Bradley Hand ITC TT-Bold"/>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000000"/>
        <w:tblLayout w:type="fixed"/>
      </w:tblPr>
      <w:tblGrid>
        <w:gridCol w:w="8286"/>
        <w:gridCol w:w="1326"/>
      </w:tblGrid>
      <w:tr>
        <w:tblPrEx>
          <w:shd w:val="clear" w:color="auto" w:fill="auto"/>
        </w:tblPrEx>
        <w:trPr>
          <w:trHeight w:val="630" w:hRule="atLeast"/>
          <w:tblHeader/>
        </w:trPr>
        <w:tc>
          <w:tcPr>
            <w:tcW w:type="dxa" w:w="8286"/>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top"/>
          </w:tcPr>
          <w:p/>
        </w:tc>
        <w:tc>
          <w:tcPr>
            <w:tcW w:type="dxa" w:w="1325"/>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Correct Definition</w:t>
            </w:r>
          </w:p>
        </w:tc>
      </w:tr>
      <w:tr>
        <w:tblPrEx>
          <w:shd w:val="clear" w:color="auto" w:fill="000000"/>
        </w:tblPrEx>
        <w:trPr>
          <w:trHeight w:val="630" w:hRule="atLeast"/>
        </w:trPr>
        <w:tc>
          <w:tcPr>
            <w:tcW w:type="dxa" w:w="8286"/>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It means that the Pope is above criticism</w:t>
            </w:r>
          </w:p>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p>
        </w:tc>
        <w:tc>
          <w:tcPr>
            <w:tcW w:type="dxa" w:w="1325"/>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620" w:hRule="atLeast"/>
        </w:trPr>
        <w:tc>
          <w:tcPr>
            <w:tcW w:type="dxa" w:w="82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It means the Pope can predict the future</w:t>
            </w:r>
          </w:p>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p>
        </w:tc>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620" w:hRule="atLeast"/>
        </w:trPr>
        <w:tc>
          <w:tcPr>
            <w:tcW w:type="dxa" w:w="82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xml:space="preserve">It means the Pope is </w:t>
            </w:r>
            <w:r>
              <w:rPr>
                <w:rFonts w:ascii="Avenir Next Regular" w:cs="Arial Unicode MS" w:hAnsi="Avenir Next Regular" w:eastAsia="Arial Unicode MS"/>
                <w:b w:val="0"/>
                <w:bCs w:val="0"/>
                <w:i w:val="1"/>
                <w:iCs w:val="1"/>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Omniscient</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xml:space="preserve"> (all knowing)</w:t>
            </w:r>
          </w:p>
        </w:tc>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620" w:hRule="atLeast"/>
        </w:trPr>
        <w:tc>
          <w:tcPr>
            <w:tcW w:type="dxa" w:w="82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It means the Pope is prevented from making mistakes about doctrines or moral precepts when he teaches authoritatively </w:t>
            </w:r>
          </w:p>
        </w:tc>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620" w:hRule="atLeast"/>
        </w:trPr>
        <w:tc>
          <w:tcPr>
            <w:tcW w:type="dxa" w:w="82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It means the Pope is immune from making bad practical judgements</w:t>
            </w:r>
          </w:p>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p>
        </w:tc>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620" w:hRule="atLeast"/>
        </w:trPr>
        <w:tc>
          <w:tcPr>
            <w:tcW w:type="dxa" w:w="82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It means the Pope does not sin</w:t>
            </w:r>
          </w:p>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p>
        </w:tc>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bl>
    <w:p>
      <w:pPr>
        <w:pStyle w:val="Body A"/>
        <w:rPr>
          <w:rFonts w:ascii="Bradley Hand ITC TT-Bold" w:cs="Bradley Hand ITC TT-Bold" w:hAnsi="Bradley Hand ITC TT-Bold" w:eastAsia="Bradley Hand ITC TT-Bold"/>
        </w:rPr>
      </w:pPr>
    </w:p>
    <w:p>
      <w:pPr>
        <w:pStyle w:val="Body A"/>
        <w:rPr>
          <w:rFonts w:ascii="Bradley Hand ITC TT-Bold" w:cs="Bradley Hand ITC TT-Bold" w:hAnsi="Bradley Hand ITC TT-Bold" w:eastAsia="Bradley Hand ITC TT-Bold"/>
        </w:rPr>
      </w:pPr>
    </w:p>
    <w:p>
      <w:pPr>
        <w:pStyle w:val="Body A"/>
        <w:rPr>
          <w:rFonts w:ascii="Avenir Next Regular" w:cs="Avenir Next Regular" w:hAnsi="Avenir Next Regular" w:eastAsia="Avenir Next Regular"/>
        </w:rPr>
      </w:pPr>
    </w:p>
    <w:p>
      <w:pPr>
        <w:pStyle w:val="Body A"/>
        <w:numPr>
          <w:ilvl w:val="0"/>
          <w:numId w:val="3"/>
        </w:numPr>
        <w:bidi w:val="0"/>
        <w:ind w:right="0"/>
        <w:jc w:val="both"/>
        <w:rPr>
          <w:rFonts w:ascii="Avenir Next Regular" w:hAnsi="Avenir Next Regular"/>
          <w:rtl w:val="0"/>
          <w:lang w:val="en-US"/>
        </w:rPr>
      </w:pPr>
      <w:r>
        <w:rPr>
          <w:rFonts w:ascii="Avenir Next Regular" w:hAnsi="Avenir Next Regular"/>
          <w:rtl w:val="0"/>
          <w:lang w:val="en-US"/>
        </w:rPr>
        <w:t xml:space="preserve">What is the problem of when we see the Bible </w:t>
      </w:r>
      <w:r>
        <w:rPr>
          <w:rFonts w:ascii="Avenir Next Regular" w:hAnsi="Avenir Next Regular"/>
          <w:u w:val="single"/>
          <w:rtl w:val="0"/>
          <w:lang w:val="en-US"/>
        </w:rPr>
        <w:t>alone</w:t>
      </w:r>
      <w:r>
        <w:rPr>
          <w:rFonts w:ascii="Avenir Next Regular" w:hAnsi="Avenir Next Regular"/>
          <w:rtl w:val="0"/>
          <w:lang w:val="en-US"/>
        </w:rPr>
        <w:t xml:space="preserve"> as a source of authority? (10 - 30 words)</w:t>
      </w:r>
    </w:p>
    <w:p>
      <w:pPr>
        <w:pStyle w:val="Body A"/>
        <w:bidi w:val="0"/>
        <w:ind w:left="0" w:right="0" w:firstLine="0"/>
        <w:jc w:val="both"/>
        <w:rPr>
          <w:rFonts w:ascii="Bradley Hand ITC TT-Bold" w:cs="Bradley Hand ITC TT-Bold" w:hAnsi="Bradley Hand ITC TT-Bold" w:eastAsia="Bradley Hand ITC TT-Bold"/>
          <w:rtl w:val="0"/>
        </w:rPr>
      </w:pPr>
    </w:p>
    <w:p>
      <w:pPr>
        <w:pStyle w:val="Body A"/>
        <w:bidi w:val="0"/>
        <w:ind w:left="0" w:right="0" w:firstLine="0"/>
        <w:jc w:val="both"/>
        <w:rPr>
          <w:rFonts w:ascii="Bradley Hand ITC TT-Bold" w:cs="Bradley Hand ITC TT-Bold" w:hAnsi="Bradley Hand ITC TT-Bold" w:eastAsia="Bradley Hand ITC TT-Bold"/>
          <w:rtl w:val="0"/>
        </w:rPr>
      </w:pPr>
    </w:p>
    <w:p>
      <w:pPr>
        <w:pStyle w:val="Body A"/>
        <w:bidi w:val="0"/>
        <w:ind w:left="0" w:right="0" w:firstLine="0"/>
        <w:jc w:val="both"/>
        <w:rPr>
          <w:rFonts w:ascii="Bradley Hand ITC TT-Bold" w:cs="Bradley Hand ITC TT-Bold" w:hAnsi="Bradley Hand ITC TT-Bold" w:eastAsia="Bradley Hand ITC TT-Bold"/>
          <w:rtl w:val="0"/>
        </w:rPr>
      </w:pPr>
    </w:p>
    <w:p>
      <w:pPr>
        <w:pStyle w:val="Body A"/>
        <w:jc w:val="both"/>
        <w:rPr>
          <w:rFonts w:ascii="Avenir Next Regular" w:cs="Avenir Next Regular" w:hAnsi="Avenir Next Regular" w:eastAsia="Avenir Next Regular"/>
          <w:u w:val="single"/>
        </w:rPr>
      </w:pPr>
      <w:r>
        <w:rPr>
          <w:rFonts w:ascii="Avenir Next Regular" w:hAnsi="Avenir Next Regular"/>
          <w:u w:val="single"/>
          <w:rtl w:val="0"/>
          <w:lang w:val="en-US"/>
        </w:rPr>
        <w:t>Questions for Reflection</w:t>
      </w:r>
    </w:p>
    <w:p>
      <w:pPr>
        <w:pStyle w:val="Body A"/>
        <w:jc w:val="both"/>
        <w:rPr>
          <w:rFonts w:ascii="Avenir Next Regular" w:cs="Avenir Next Regular" w:hAnsi="Avenir Next Regular" w:eastAsia="Avenir Next Regular"/>
          <w:i w:val="1"/>
          <w:iCs w:val="1"/>
        </w:rPr>
      </w:pPr>
      <w:r>
        <w:rPr>
          <w:rFonts w:ascii="Avenir Next Regular" w:hAnsi="Avenir Next Regular"/>
          <w:i w:val="1"/>
          <w:iCs w:val="1"/>
          <w:rtl w:val="0"/>
          <w:lang w:val="en-US"/>
        </w:rPr>
        <w:t>You do not need to write any answers here to the following questions (although you may if you wish). You should, though, reflect for a few minutes with your parent(s) / guardian(s) on your answer and theirs to the following questions. You will be asked to say something about these in your small groups</w:t>
      </w:r>
    </w:p>
    <w:p>
      <w:pPr>
        <w:pStyle w:val="Body A"/>
        <w:jc w:val="both"/>
        <w:rPr>
          <w:rFonts w:ascii="Avenir Next Regular" w:cs="Avenir Next Regular" w:hAnsi="Avenir Next Regular" w:eastAsia="Avenir Next Regular"/>
          <w:i w:val="1"/>
          <w:iCs w:val="1"/>
        </w:rPr>
      </w:pPr>
    </w:p>
    <w:p>
      <w:pPr>
        <w:pStyle w:val="Body A"/>
        <w:jc w:val="both"/>
        <w:rPr>
          <w:rFonts w:ascii="Avenir Next Regular" w:cs="Avenir Next Regular" w:hAnsi="Avenir Next Regular" w:eastAsia="Avenir Next Regular"/>
        </w:rPr>
      </w:pPr>
      <w:r>
        <w:rPr>
          <w:rFonts w:ascii="Avenir Next Regular" w:hAnsi="Avenir Next Regular"/>
          <w:rtl w:val="0"/>
          <w:lang w:val="en-US"/>
        </w:rPr>
        <w:t>What does it mean to me to belong to the Catholic Church?</w:t>
      </w:r>
    </w:p>
    <w:p>
      <w:pPr>
        <w:pStyle w:val="Body A"/>
        <w:jc w:val="both"/>
        <w:rPr>
          <w:rFonts w:ascii="Avenir Next Regular" w:cs="Avenir Next Regular" w:hAnsi="Avenir Next Regular" w:eastAsia="Avenir Next Regular"/>
        </w:rPr>
      </w:pPr>
      <w:r>
        <w:rPr>
          <w:rFonts w:ascii="Avenir Next Regular" w:hAnsi="Avenir Next Regular"/>
          <w:rtl w:val="0"/>
          <w:lang w:val="en-US"/>
        </w:rPr>
        <w:t>What does the Pope mean for me?</w:t>
      </w:r>
    </w:p>
    <w:p>
      <w:pPr>
        <w:pStyle w:val="Body A"/>
        <w:jc w:val="both"/>
      </w:pPr>
      <w:r>
        <w:rPr>
          <w:rFonts w:ascii="Avenir Next Regular" w:hAnsi="Avenir Next Regular"/>
          <w:rtl w:val="0"/>
          <w:lang w:val="en-US"/>
        </w:rPr>
        <w:t>How does the gift of infallibility, given to the Church, help me in my life of faith?</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